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8C667" w14:textId="2E698971" w:rsidR="00147209" w:rsidRPr="00147209" w:rsidRDefault="00147209" w:rsidP="00147209">
      <w:pPr>
        <w:pStyle w:val="Standard"/>
        <w:jc w:val="center"/>
        <w:rPr>
          <w:rFonts w:ascii="Caladea" w:hAnsi="Caladea"/>
          <w:b/>
          <w:bCs/>
          <w:sz w:val="36"/>
          <w:szCs w:val="36"/>
        </w:rPr>
      </w:pPr>
      <w:r w:rsidRPr="00147209">
        <w:rPr>
          <w:rFonts w:ascii="Caladea" w:hAnsi="Caladea"/>
          <w:b/>
          <w:bCs/>
          <w:sz w:val="36"/>
          <w:szCs w:val="36"/>
        </w:rPr>
        <w:t>Know your right to confidentiality</w:t>
      </w:r>
    </w:p>
    <w:p w14:paraId="06AED1B4" w14:textId="77777777" w:rsidR="00147209" w:rsidRDefault="00147209" w:rsidP="00147209">
      <w:pPr>
        <w:pStyle w:val="Standard"/>
        <w:rPr>
          <w:rFonts w:ascii="Caladea" w:hAnsi="Caladea"/>
          <w:b/>
          <w:bCs/>
          <w:sz w:val="22"/>
          <w:szCs w:val="22"/>
        </w:rPr>
      </w:pPr>
    </w:p>
    <w:p w14:paraId="7D17A0F2" w14:textId="7D001191" w:rsidR="00147209" w:rsidRPr="00147209" w:rsidRDefault="00147209" w:rsidP="00147209">
      <w:pPr>
        <w:pStyle w:val="Standard"/>
        <w:rPr>
          <w:rFonts w:hint="eastAsia"/>
          <w:sz w:val="22"/>
          <w:szCs w:val="22"/>
        </w:rPr>
      </w:pPr>
      <w:r w:rsidRPr="00147209">
        <w:rPr>
          <w:rFonts w:ascii="Caladea" w:hAnsi="Caladea"/>
          <w:b/>
          <w:bCs/>
          <w:sz w:val="22"/>
          <w:szCs w:val="22"/>
        </w:rPr>
        <w:t>CONFIDENTIALITY:</w:t>
      </w:r>
    </w:p>
    <w:p w14:paraId="0E865881" w14:textId="77777777" w:rsidR="00147209" w:rsidRPr="00147209" w:rsidRDefault="00147209" w:rsidP="00147209">
      <w:pPr>
        <w:pStyle w:val="Standard"/>
        <w:rPr>
          <w:rFonts w:ascii="Caladea" w:hAnsi="Caladea" w:hint="eastAsia"/>
          <w:sz w:val="20"/>
          <w:szCs w:val="20"/>
        </w:rPr>
      </w:pPr>
      <w:r w:rsidRPr="00147209">
        <w:rPr>
          <w:rFonts w:ascii="Caladea" w:hAnsi="Caladea"/>
          <w:sz w:val="20"/>
          <w:szCs w:val="20"/>
        </w:rPr>
        <w:t xml:space="preserve">It is expected that </w:t>
      </w:r>
      <w:proofErr w:type="gramStart"/>
      <w:r w:rsidRPr="00147209">
        <w:rPr>
          <w:rFonts w:ascii="Caladea" w:hAnsi="Caladea"/>
          <w:sz w:val="20"/>
          <w:szCs w:val="20"/>
        </w:rPr>
        <w:t>in</w:t>
      </w:r>
      <w:proofErr w:type="gramEnd"/>
      <w:r w:rsidRPr="00147209">
        <w:rPr>
          <w:rFonts w:ascii="Caladea" w:hAnsi="Caladea"/>
          <w:sz w:val="20"/>
          <w:szCs w:val="20"/>
        </w:rPr>
        <w:t xml:space="preserve"> gaining access to the building as well as coming or going from the premises you may be seen by others; regardless of this potentiality, confidentiality of the content of our sessions remains intact. We treat all the information you share with great care. It is your legal right, and our ethical and legal mandate, that our sessions and the records about you be kept private. However, there are situations in which your confidentiality is not protected by state law and by the rules of our profession.</w:t>
      </w:r>
    </w:p>
    <w:p w14:paraId="52FE189D" w14:textId="77777777" w:rsidR="00147209" w:rsidRPr="00147209" w:rsidRDefault="00147209" w:rsidP="00147209">
      <w:pPr>
        <w:pStyle w:val="Standard"/>
        <w:rPr>
          <w:rFonts w:ascii="Caladea" w:hAnsi="Caladea" w:hint="eastAsia"/>
          <w:sz w:val="20"/>
          <w:szCs w:val="20"/>
        </w:rPr>
      </w:pPr>
    </w:p>
    <w:p w14:paraId="7903315F" w14:textId="77777777" w:rsidR="00147209" w:rsidRPr="00147209" w:rsidRDefault="00147209" w:rsidP="00147209">
      <w:pPr>
        <w:pStyle w:val="Standard"/>
        <w:rPr>
          <w:rFonts w:hint="eastAsia"/>
          <w:sz w:val="20"/>
          <w:szCs w:val="20"/>
        </w:rPr>
      </w:pPr>
      <w:r w:rsidRPr="00147209">
        <w:rPr>
          <w:rFonts w:ascii="Caladea" w:hAnsi="Caladea"/>
          <w:sz w:val="20"/>
          <w:szCs w:val="20"/>
        </w:rPr>
        <w:t xml:space="preserve">Here are the most common cases in which confidentiality is </w:t>
      </w:r>
      <w:r w:rsidRPr="00147209">
        <w:rPr>
          <w:rFonts w:ascii="Caladea" w:hAnsi="Caladea"/>
          <w:b/>
          <w:bCs/>
          <w:i/>
          <w:iCs/>
          <w:sz w:val="20"/>
          <w:szCs w:val="20"/>
        </w:rPr>
        <w:t>not</w:t>
      </w:r>
      <w:r w:rsidRPr="00147209">
        <w:rPr>
          <w:rFonts w:ascii="Caladea" w:hAnsi="Caladea"/>
          <w:sz w:val="20"/>
          <w:szCs w:val="20"/>
        </w:rPr>
        <w:t xml:space="preserve"> protected:</w:t>
      </w:r>
    </w:p>
    <w:p w14:paraId="0A8A10C3" w14:textId="77777777" w:rsidR="00147209" w:rsidRPr="00147209" w:rsidRDefault="00147209" w:rsidP="00147209">
      <w:pPr>
        <w:pStyle w:val="Standard"/>
        <w:rPr>
          <w:rFonts w:ascii="Caladea" w:hAnsi="Caladea" w:hint="eastAsia"/>
          <w:sz w:val="20"/>
          <w:szCs w:val="20"/>
        </w:rPr>
      </w:pPr>
    </w:p>
    <w:p w14:paraId="6DB1B711" w14:textId="77777777" w:rsidR="00147209" w:rsidRPr="00147209" w:rsidRDefault="00147209" w:rsidP="00147209">
      <w:pPr>
        <w:pStyle w:val="Standard"/>
        <w:rPr>
          <w:rFonts w:ascii="Caladea" w:hAnsi="Caladea" w:hint="eastAsia"/>
          <w:sz w:val="20"/>
          <w:szCs w:val="20"/>
        </w:rPr>
      </w:pPr>
      <w:r w:rsidRPr="00147209">
        <w:rPr>
          <w:rFonts w:ascii="Caladea" w:hAnsi="Caladea"/>
          <w:sz w:val="20"/>
          <w:szCs w:val="20"/>
        </w:rPr>
        <w:t>• If you are referred by a court or an employer for evaluation or treatment. The court or employer will expect a report from your clinician. If this is your situation, please talk with your clinician before you tell them anything you do not want the court or your employer to know.</w:t>
      </w:r>
    </w:p>
    <w:p w14:paraId="55C90A26" w14:textId="77777777" w:rsidR="00147209" w:rsidRPr="00147209" w:rsidRDefault="00147209" w:rsidP="00147209">
      <w:pPr>
        <w:pStyle w:val="Standard"/>
        <w:rPr>
          <w:rFonts w:ascii="Caladea" w:hAnsi="Caladea" w:hint="eastAsia"/>
          <w:sz w:val="20"/>
          <w:szCs w:val="20"/>
        </w:rPr>
      </w:pPr>
      <w:r w:rsidRPr="00147209">
        <w:rPr>
          <w:rFonts w:ascii="Caladea" w:hAnsi="Caladea"/>
          <w:sz w:val="20"/>
          <w:szCs w:val="20"/>
        </w:rPr>
        <w:t>• If you are involved in a legal dispute and you tell the court that you are seeing a counselor, we may then be ordered to show the court our records. Please consult with your lawyer about these issues.</w:t>
      </w:r>
    </w:p>
    <w:p w14:paraId="1C974121" w14:textId="77777777" w:rsidR="00147209" w:rsidRPr="00147209" w:rsidRDefault="00147209" w:rsidP="00147209">
      <w:pPr>
        <w:pStyle w:val="Standard"/>
        <w:rPr>
          <w:rFonts w:ascii="Caladea" w:hAnsi="Caladea" w:hint="eastAsia"/>
          <w:sz w:val="20"/>
          <w:szCs w:val="20"/>
        </w:rPr>
      </w:pPr>
      <w:r w:rsidRPr="00147209">
        <w:rPr>
          <w:rFonts w:ascii="Caladea" w:hAnsi="Caladea"/>
          <w:sz w:val="20"/>
          <w:szCs w:val="20"/>
        </w:rPr>
        <w:t>• If you make a serious threat to harm yourself or another person, we are legally required to protect</w:t>
      </w:r>
    </w:p>
    <w:p w14:paraId="71AA42FC" w14:textId="77777777" w:rsidR="00147209" w:rsidRPr="00147209" w:rsidRDefault="00147209" w:rsidP="00147209">
      <w:pPr>
        <w:pStyle w:val="Standard"/>
        <w:rPr>
          <w:rFonts w:ascii="Caladea" w:hAnsi="Caladea" w:hint="eastAsia"/>
          <w:sz w:val="20"/>
          <w:szCs w:val="20"/>
        </w:rPr>
      </w:pPr>
      <w:r w:rsidRPr="00147209">
        <w:rPr>
          <w:rFonts w:ascii="Caladea" w:hAnsi="Caladea"/>
          <w:sz w:val="20"/>
          <w:szCs w:val="20"/>
        </w:rPr>
        <w:t>you and any potential victim of your stated threat. This usually means telling others, including the police and emergency medical personnel.</w:t>
      </w:r>
    </w:p>
    <w:p w14:paraId="2BD8C000" w14:textId="77777777" w:rsidR="00147209" w:rsidRPr="00147209" w:rsidRDefault="00147209" w:rsidP="00147209">
      <w:pPr>
        <w:pStyle w:val="Standard"/>
        <w:rPr>
          <w:rFonts w:ascii="Caladea" w:hAnsi="Caladea" w:hint="eastAsia"/>
          <w:sz w:val="20"/>
          <w:szCs w:val="20"/>
        </w:rPr>
      </w:pPr>
      <w:r w:rsidRPr="00147209">
        <w:rPr>
          <w:rFonts w:ascii="Caladea" w:hAnsi="Caladea"/>
          <w:sz w:val="20"/>
          <w:szCs w:val="20"/>
        </w:rPr>
        <w:t>• If your clinician believes a child or vulnerable adult has been or will be abused or neglected, we are legally required to report this to the authorities within 24 hours of our awareness.</w:t>
      </w:r>
    </w:p>
    <w:p w14:paraId="354A7C9E" w14:textId="77777777" w:rsidR="00147209" w:rsidRPr="00147209" w:rsidRDefault="00147209" w:rsidP="00147209">
      <w:pPr>
        <w:pStyle w:val="Standard"/>
        <w:rPr>
          <w:rFonts w:ascii="Caladea" w:hAnsi="Caladea" w:hint="eastAsia"/>
          <w:sz w:val="20"/>
          <w:szCs w:val="20"/>
        </w:rPr>
      </w:pPr>
    </w:p>
    <w:p w14:paraId="059B9138" w14:textId="77777777" w:rsidR="00147209" w:rsidRPr="00147209" w:rsidRDefault="00147209" w:rsidP="00147209">
      <w:pPr>
        <w:pStyle w:val="Standard"/>
        <w:rPr>
          <w:rFonts w:ascii="Caladea" w:hAnsi="Caladea"/>
          <w:sz w:val="20"/>
          <w:szCs w:val="20"/>
        </w:rPr>
      </w:pPr>
      <w:r w:rsidRPr="00147209">
        <w:rPr>
          <w:rFonts w:ascii="Caladea" w:hAnsi="Caladea"/>
          <w:sz w:val="20"/>
          <w:szCs w:val="20"/>
        </w:rPr>
        <w:t>In addition, it is understood that sometimes clinicians consult other health and/or mental health professionals; therefore, you grant your clinician permission to do so regarding your case. Realize that they will only do so making every effort to avoid revealing your identity. Also, realize that you may or may not be informed of these anonymous consultations.</w:t>
      </w:r>
    </w:p>
    <w:p w14:paraId="521E0C0F" w14:textId="77777777" w:rsidR="00147209" w:rsidRPr="00147209" w:rsidRDefault="00147209" w:rsidP="00147209">
      <w:pPr>
        <w:pStyle w:val="Standard"/>
        <w:rPr>
          <w:rFonts w:ascii="Caladea" w:hAnsi="Caladea"/>
          <w:sz w:val="20"/>
          <w:szCs w:val="20"/>
        </w:rPr>
      </w:pPr>
    </w:p>
    <w:p w14:paraId="1627C027" w14:textId="77777777" w:rsidR="00147209" w:rsidRPr="00147209" w:rsidRDefault="00147209" w:rsidP="00147209">
      <w:pPr>
        <w:pStyle w:val="Standard"/>
        <w:rPr>
          <w:rFonts w:hint="eastAsia"/>
          <w:sz w:val="22"/>
          <w:szCs w:val="22"/>
        </w:rPr>
      </w:pPr>
      <w:r w:rsidRPr="00147209">
        <w:rPr>
          <w:rFonts w:ascii="Caladea" w:hAnsi="Caladea"/>
          <w:b/>
          <w:bCs/>
          <w:sz w:val="22"/>
          <w:szCs w:val="22"/>
        </w:rPr>
        <w:t>HIPAA:</w:t>
      </w:r>
    </w:p>
    <w:p w14:paraId="0E034D25" w14:textId="77777777" w:rsidR="00147209" w:rsidRPr="00147209" w:rsidRDefault="00147209" w:rsidP="00147209">
      <w:pPr>
        <w:pStyle w:val="Standard"/>
        <w:rPr>
          <w:rFonts w:ascii="Caladea" w:hAnsi="Caladea" w:hint="eastAsia"/>
          <w:sz w:val="20"/>
          <w:szCs w:val="20"/>
        </w:rPr>
      </w:pPr>
      <w:r w:rsidRPr="00147209">
        <w:rPr>
          <w:rFonts w:ascii="Caladea" w:hAnsi="Caladea"/>
          <w:sz w:val="20"/>
          <w:szCs w:val="20"/>
        </w:rPr>
        <w:t xml:space="preserve">You are protected under the provisions of the Federal Health Insurance Portability and Accountability Act (HIPAA). Detailed information is covered in the form document “Your Information. </w:t>
      </w:r>
      <w:proofErr w:type="gramStart"/>
      <w:r w:rsidRPr="00147209">
        <w:rPr>
          <w:rFonts w:ascii="Caladea" w:hAnsi="Caladea"/>
          <w:sz w:val="20"/>
          <w:szCs w:val="20"/>
        </w:rPr>
        <w:t>Your Rights.</w:t>
      </w:r>
      <w:proofErr w:type="gramEnd"/>
      <w:r w:rsidRPr="00147209">
        <w:rPr>
          <w:rFonts w:ascii="Caladea" w:hAnsi="Caladea"/>
          <w:sz w:val="20"/>
          <w:szCs w:val="20"/>
        </w:rPr>
        <w:t xml:space="preserve"> Our Responsibilities.”</w:t>
      </w:r>
    </w:p>
    <w:p w14:paraId="2FB34807" w14:textId="77777777" w:rsidR="00147209" w:rsidRPr="00147209" w:rsidRDefault="00147209" w:rsidP="00147209">
      <w:pPr>
        <w:pStyle w:val="NormalWeb"/>
        <w:shd w:val="clear" w:color="auto" w:fill="FFFFFF"/>
        <w:spacing w:before="0" w:after="0"/>
        <w:rPr>
          <w:rFonts w:ascii="Calibri" w:hAnsi="Calibri" w:cs="Calibri"/>
          <w:b/>
          <w:bCs/>
          <w:color w:val="212529"/>
          <w:sz w:val="20"/>
          <w:szCs w:val="20"/>
        </w:rPr>
      </w:pPr>
    </w:p>
    <w:p w14:paraId="0BDF083E" w14:textId="782842AF" w:rsidR="00147209" w:rsidRPr="00147209" w:rsidRDefault="00147209" w:rsidP="00147209">
      <w:pPr>
        <w:pStyle w:val="NormalWeb"/>
        <w:shd w:val="clear" w:color="auto" w:fill="FFFFFF"/>
        <w:spacing w:before="0" w:after="0"/>
        <w:rPr>
          <w:sz w:val="20"/>
          <w:szCs w:val="20"/>
        </w:rPr>
      </w:pPr>
      <w:r w:rsidRPr="00147209">
        <w:rPr>
          <w:rFonts w:ascii="Caladea" w:hAnsi="Caladea" w:cs="Calibri"/>
          <w:b/>
          <w:bCs/>
          <w:color w:val="212529"/>
          <w:sz w:val="22"/>
          <w:szCs w:val="22"/>
        </w:rPr>
        <w:t>Use and Disclosure of Substance Use Disorder Records Subject to 42 CFR Part</w:t>
      </w:r>
      <w:r w:rsidRPr="00147209">
        <w:rPr>
          <w:rFonts w:ascii="Caladea" w:hAnsi="Caladea" w:cs="Calibri"/>
          <w:color w:val="212529"/>
          <w:sz w:val="22"/>
          <w:szCs w:val="22"/>
        </w:rPr>
        <w:t xml:space="preserve"> </w:t>
      </w:r>
      <w:r w:rsidRPr="00147209">
        <w:rPr>
          <w:rFonts w:ascii="Caladea" w:hAnsi="Caladea" w:cs="Calibri"/>
          <w:b/>
          <w:bCs/>
          <w:color w:val="212529"/>
          <w:sz w:val="22"/>
          <w:szCs w:val="22"/>
        </w:rPr>
        <w:t>2:</w:t>
      </w:r>
      <w:r w:rsidRPr="00147209">
        <w:rPr>
          <w:rFonts w:ascii="Caladea" w:hAnsi="Caladea" w:cs="Calibri"/>
          <w:color w:val="212529"/>
          <w:sz w:val="22"/>
          <w:szCs w:val="22"/>
        </w:rPr>
        <w:br/>
      </w:r>
      <w:r w:rsidRPr="00147209">
        <w:rPr>
          <w:rFonts w:ascii="Caladea" w:hAnsi="Caladea" w:cs="Calibri"/>
          <w:color w:val="000000"/>
          <w:sz w:val="20"/>
          <w:szCs w:val="20"/>
        </w:rPr>
        <w:t>If applicable, your substance use disorder (“SUD”) records are protected</w:t>
      </w:r>
      <w:r w:rsidRPr="00147209">
        <w:rPr>
          <w:rFonts w:ascii="Caladea" w:hAnsi="Caladea" w:cs="Calibri"/>
          <w:color w:val="212529"/>
          <w:sz w:val="20"/>
          <w:szCs w:val="20"/>
        </w:rPr>
        <w:t xml:space="preserve"> </w:t>
      </w:r>
      <w:r w:rsidRPr="00147209">
        <w:rPr>
          <w:rFonts w:ascii="Caladea" w:hAnsi="Caladea" w:cs="Calibri"/>
          <w:color w:val="000000"/>
          <w:sz w:val="20"/>
          <w:szCs w:val="20"/>
        </w:rPr>
        <w:t>by federal law under 42 C.F.R. Part 2 (“Part 2”). This law provides extra</w:t>
      </w:r>
      <w:r w:rsidRPr="00147209">
        <w:rPr>
          <w:rFonts w:ascii="Caladea" w:hAnsi="Caladea" w:cs="Calibri"/>
          <w:color w:val="212529"/>
          <w:sz w:val="20"/>
          <w:szCs w:val="20"/>
        </w:rPr>
        <w:t xml:space="preserve"> </w:t>
      </w:r>
      <w:r w:rsidRPr="00147209">
        <w:rPr>
          <w:rFonts w:ascii="Caladea" w:hAnsi="Caladea" w:cs="Calibri"/>
          <w:color w:val="000000"/>
          <w:sz w:val="20"/>
          <w:szCs w:val="20"/>
        </w:rPr>
        <w:t xml:space="preserve">confidentiality </w:t>
      </w:r>
      <w:proofErr w:type="gramStart"/>
      <w:r w:rsidRPr="00147209">
        <w:rPr>
          <w:rFonts w:ascii="Caladea" w:hAnsi="Caladea" w:cs="Calibri"/>
          <w:color w:val="000000"/>
          <w:sz w:val="20"/>
          <w:szCs w:val="20"/>
        </w:rPr>
        <w:t>protections</w:t>
      </w:r>
      <w:proofErr w:type="gramEnd"/>
      <w:r w:rsidRPr="00147209">
        <w:rPr>
          <w:rFonts w:ascii="Caladea" w:hAnsi="Caladea" w:cs="Calibri"/>
          <w:color w:val="000000"/>
          <w:sz w:val="20"/>
          <w:szCs w:val="20"/>
        </w:rPr>
        <w:t xml:space="preserve"> and requires </w:t>
      </w:r>
      <w:proofErr w:type="gramStart"/>
      <w:r w:rsidRPr="00147209">
        <w:rPr>
          <w:rFonts w:ascii="Caladea" w:hAnsi="Caladea" w:cs="Calibri"/>
          <w:color w:val="000000"/>
          <w:sz w:val="20"/>
          <w:szCs w:val="20"/>
        </w:rPr>
        <w:t>a separate</w:t>
      </w:r>
      <w:proofErr w:type="gramEnd"/>
      <w:r w:rsidRPr="00147209">
        <w:rPr>
          <w:rFonts w:ascii="Caladea" w:hAnsi="Caladea" w:cs="Calibri"/>
          <w:color w:val="000000"/>
          <w:sz w:val="20"/>
          <w:szCs w:val="20"/>
        </w:rPr>
        <w:t xml:space="preserve"> patient consent for the use</w:t>
      </w:r>
      <w:r w:rsidRPr="00147209">
        <w:rPr>
          <w:rFonts w:ascii="Caladea" w:hAnsi="Caladea" w:cs="Calibri"/>
          <w:color w:val="212529"/>
          <w:sz w:val="20"/>
          <w:szCs w:val="20"/>
        </w:rPr>
        <w:t xml:space="preserve"> </w:t>
      </w:r>
      <w:r w:rsidRPr="00147209">
        <w:rPr>
          <w:rFonts w:ascii="Caladea" w:hAnsi="Caladea" w:cs="Calibri"/>
          <w:color w:val="000000"/>
          <w:sz w:val="20"/>
          <w:szCs w:val="20"/>
        </w:rPr>
        <w:t>and disclosure of SUD counseling notes. Each disclosure made with patient</w:t>
      </w:r>
      <w:r w:rsidRPr="00147209">
        <w:rPr>
          <w:rFonts w:ascii="Caladea" w:hAnsi="Caladea" w:cs="Calibri"/>
          <w:color w:val="212529"/>
          <w:sz w:val="20"/>
          <w:szCs w:val="20"/>
        </w:rPr>
        <w:t xml:space="preserve"> </w:t>
      </w:r>
      <w:r w:rsidRPr="00147209">
        <w:rPr>
          <w:rFonts w:ascii="Caladea" w:hAnsi="Caladea" w:cs="Calibri"/>
          <w:color w:val="000000"/>
          <w:sz w:val="20"/>
          <w:szCs w:val="20"/>
        </w:rPr>
        <w:t>consent must include a copy of the consent or a clear explanation of the scope of</w:t>
      </w:r>
      <w:r w:rsidRPr="00147209">
        <w:rPr>
          <w:rFonts w:ascii="Caladea" w:hAnsi="Caladea" w:cs="Calibri"/>
          <w:color w:val="212529"/>
          <w:sz w:val="20"/>
          <w:szCs w:val="20"/>
        </w:rPr>
        <w:t xml:space="preserve"> </w:t>
      </w:r>
      <w:r w:rsidRPr="00147209">
        <w:rPr>
          <w:rFonts w:ascii="Caladea" w:hAnsi="Caladea" w:cs="Calibri"/>
          <w:color w:val="000000"/>
          <w:sz w:val="20"/>
          <w:szCs w:val="20"/>
        </w:rPr>
        <w:t>the consent. It must also be accompanied by a written notice containing the</w:t>
      </w:r>
      <w:r w:rsidRPr="00147209">
        <w:rPr>
          <w:rFonts w:ascii="Caladea" w:hAnsi="Caladea" w:cs="Calibri"/>
          <w:color w:val="212529"/>
          <w:sz w:val="20"/>
          <w:szCs w:val="20"/>
        </w:rPr>
        <w:t xml:space="preserve"> </w:t>
      </w:r>
      <w:r w:rsidRPr="00147209">
        <w:rPr>
          <w:rFonts w:ascii="Caladea" w:hAnsi="Caladea" w:cs="Calibri"/>
          <w:color w:val="000000"/>
          <w:sz w:val="20"/>
          <w:szCs w:val="20"/>
        </w:rPr>
        <w:t>language in 42 CFR Part 2.32(a). Disclosure of these records requires your explicit</w:t>
      </w:r>
      <w:r w:rsidRPr="00147209">
        <w:rPr>
          <w:rFonts w:ascii="Caladea" w:hAnsi="Caladea" w:cs="Calibri"/>
          <w:color w:val="212529"/>
          <w:sz w:val="20"/>
          <w:szCs w:val="20"/>
        </w:rPr>
        <w:t xml:space="preserve"> </w:t>
      </w:r>
      <w:r w:rsidRPr="00147209">
        <w:rPr>
          <w:rFonts w:ascii="Caladea" w:hAnsi="Caladea" w:cs="Calibri"/>
          <w:color w:val="000000"/>
          <w:sz w:val="20"/>
          <w:szCs w:val="20"/>
        </w:rPr>
        <w:t>written consent, except in limited</w:t>
      </w:r>
      <w:r w:rsidRPr="00147209">
        <w:rPr>
          <w:rFonts w:ascii="Caladea" w:hAnsi="Caladea" w:cs="Calibri"/>
          <w:color w:val="000000"/>
          <w:sz w:val="20"/>
          <w:szCs w:val="20"/>
        </w:rPr>
        <w:t xml:space="preserve"> </w:t>
      </w:r>
      <w:r w:rsidRPr="00147209">
        <w:rPr>
          <w:rFonts w:ascii="Caladea" w:hAnsi="Caladea" w:cs="Calibri"/>
          <w:color w:val="000000"/>
          <w:sz w:val="20"/>
          <w:szCs w:val="20"/>
        </w:rPr>
        <w:t>circumstances such as: (a) Medical</w:t>
      </w:r>
      <w:r w:rsidRPr="00147209">
        <w:rPr>
          <w:rFonts w:ascii="Caladea" w:hAnsi="Caladea" w:cs="Calibri"/>
          <w:color w:val="212529"/>
          <w:sz w:val="20"/>
          <w:szCs w:val="20"/>
        </w:rPr>
        <w:t xml:space="preserve"> </w:t>
      </w:r>
      <w:r w:rsidRPr="00147209">
        <w:rPr>
          <w:rFonts w:ascii="Caladea" w:hAnsi="Caladea" w:cs="Calibri"/>
          <w:color w:val="000000"/>
          <w:sz w:val="20"/>
          <w:szCs w:val="20"/>
        </w:rPr>
        <w:t>Emergencies: to the extent necessary to treat you, (b) Reporting Crimes on</w:t>
      </w:r>
      <w:r w:rsidRPr="00147209">
        <w:rPr>
          <w:rFonts w:ascii="Caladea" w:hAnsi="Caladea" w:cs="Calibri"/>
          <w:color w:val="212529"/>
          <w:sz w:val="20"/>
          <w:szCs w:val="20"/>
        </w:rPr>
        <w:t xml:space="preserve"> </w:t>
      </w:r>
      <w:r w:rsidRPr="00147209">
        <w:rPr>
          <w:rFonts w:ascii="Caladea" w:hAnsi="Caladea" w:cs="Calibri"/>
          <w:color w:val="000000"/>
          <w:sz w:val="20"/>
          <w:szCs w:val="20"/>
        </w:rPr>
        <w:t>Program Premises, (c) Child Abuse Reporting: In connection with incidents of</w:t>
      </w:r>
      <w:r w:rsidRPr="00147209">
        <w:rPr>
          <w:rFonts w:ascii="Caladea" w:hAnsi="Caladea" w:cs="Calibri"/>
          <w:color w:val="212529"/>
          <w:sz w:val="20"/>
          <w:szCs w:val="20"/>
        </w:rPr>
        <w:br/>
      </w:r>
      <w:r w:rsidRPr="00147209">
        <w:rPr>
          <w:rFonts w:ascii="Caladea" w:hAnsi="Caladea" w:cs="Calibri"/>
          <w:color w:val="000000"/>
          <w:sz w:val="20"/>
          <w:szCs w:val="20"/>
        </w:rPr>
        <w:t>suspected child abuse or neglect to appropriate state or local authorities, and</w:t>
      </w:r>
      <w:r w:rsidRPr="00147209">
        <w:rPr>
          <w:rFonts w:ascii="Caladea" w:hAnsi="Caladea" w:cs="Calibri"/>
          <w:color w:val="212529"/>
          <w:sz w:val="20"/>
          <w:szCs w:val="20"/>
        </w:rPr>
        <w:t xml:space="preserve"> </w:t>
      </w:r>
      <w:r w:rsidRPr="00147209">
        <w:rPr>
          <w:rFonts w:ascii="Caladea" w:hAnsi="Caladea" w:cs="Calibri"/>
          <w:color w:val="000000"/>
          <w:sz w:val="20"/>
          <w:szCs w:val="20"/>
        </w:rPr>
        <w:t>(d) Fundraising: We will provide you with an opportunity to decline to receive</w:t>
      </w:r>
      <w:r w:rsidRPr="00147209">
        <w:rPr>
          <w:rFonts w:ascii="Caladea" w:hAnsi="Caladea" w:cs="Calibri"/>
          <w:color w:val="212529"/>
          <w:sz w:val="20"/>
          <w:szCs w:val="20"/>
        </w:rPr>
        <w:t xml:space="preserve"> </w:t>
      </w:r>
      <w:r w:rsidRPr="00147209">
        <w:rPr>
          <w:rFonts w:ascii="Caladea" w:hAnsi="Caladea" w:cs="Calibri"/>
          <w:color w:val="000000"/>
          <w:sz w:val="20"/>
          <w:szCs w:val="20"/>
        </w:rPr>
        <w:t>any fundraising communications prior to making such communications.</w:t>
      </w:r>
      <w:r w:rsidRPr="00147209">
        <w:rPr>
          <w:rFonts w:ascii="Caladea" w:hAnsi="Caladea" w:cs="Calibri"/>
          <w:color w:val="212529"/>
          <w:sz w:val="20"/>
          <w:szCs w:val="20"/>
        </w:rPr>
        <w:t xml:space="preserve"> </w:t>
      </w:r>
      <w:r w:rsidRPr="00147209">
        <w:rPr>
          <w:rFonts w:ascii="Caladea" w:hAnsi="Caladea" w:cs="Calibri"/>
          <w:color w:val="000000"/>
          <w:sz w:val="20"/>
          <w:szCs w:val="20"/>
        </w:rPr>
        <w:t>You may revoke this consent at any time.</w:t>
      </w:r>
    </w:p>
    <w:p w14:paraId="064BE1E2" w14:textId="77777777" w:rsidR="00147209" w:rsidRPr="00147209" w:rsidRDefault="00147209" w:rsidP="00147209">
      <w:pPr>
        <w:pStyle w:val="NormalWeb"/>
        <w:shd w:val="clear" w:color="auto" w:fill="FFFFFF"/>
        <w:spacing w:before="0" w:after="0"/>
        <w:rPr>
          <w:rFonts w:ascii="Caladea" w:hAnsi="Caladea" w:cs="Calibri"/>
          <w:color w:val="212529"/>
          <w:sz w:val="20"/>
          <w:szCs w:val="20"/>
        </w:rPr>
      </w:pPr>
    </w:p>
    <w:p w14:paraId="282546C9" w14:textId="307780C2" w:rsidR="00147209" w:rsidRPr="00147209" w:rsidRDefault="00147209" w:rsidP="00147209">
      <w:pPr>
        <w:pStyle w:val="NormalWeb"/>
        <w:shd w:val="clear" w:color="auto" w:fill="FFFFFF"/>
        <w:spacing w:before="0" w:after="0"/>
        <w:rPr>
          <w:sz w:val="20"/>
          <w:szCs w:val="20"/>
        </w:rPr>
      </w:pPr>
      <w:r w:rsidRPr="00147209">
        <w:rPr>
          <w:rFonts w:ascii="Caladea" w:hAnsi="Caladea" w:cs="Calibri"/>
          <w:b/>
          <w:bCs/>
          <w:color w:val="000000"/>
          <w:sz w:val="22"/>
          <w:szCs w:val="22"/>
        </w:rPr>
        <w:t>Prohibitions on Use and Disclosure of Part 2 Records:</w:t>
      </w:r>
      <w:r w:rsidRPr="00147209">
        <w:rPr>
          <w:rFonts w:ascii="Caladea" w:hAnsi="Caladea" w:cs="Calibri"/>
          <w:color w:val="000000"/>
          <w:sz w:val="22"/>
          <w:szCs w:val="22"/>
        </w:rPr>
        <w:br/>
      </w:r>
      <w:r w:rsidRPr="00147209">
        <w:rPr>
          <w:rFonts w:ascii="Caladea" w:hAnsi="Caladea" w:cs="Calibri"/>
          <w:color w:val="000000"/>
          <w:sz w:val="20"/>
          <w:szCs w:val="20"/>
        </w:rPr>
        <w:t>SUD records received from programs subject to Part 2, or testimony relaying the</w:t>
      </w:r>
      <w:r w:rsidRPr="00147209">
        <w:rPr>
          <w:rFonts w:ascii="Caladea" w:hAnsi="Caladea" w:cs="Calibri"/>
          <w:color w:val="000000"/>
          <w:sz w:val="20"/>
          <w:szCs w:val="20"/>
        </w:rPr>
        <w:t xml:space="preserve"> </w:t>
      </w:r>
      <w:r w:rsidRPr="00147209">
        <w:rPr>
          <w:rFonts w:ascii="Caladea" w:hAnsi="Caladea" w:cs="Calibri"/>
          <w:color w:val="000000"/>
          <w:sz w:val="20"/>
          <w:szCs w:val="20"/>
        </w:rPr>
        <w:t>content of such records, shall not be used or disclosed in civil, criminal,</w:t>
      </w:r>
      <w:r w:rsidRPr="00147209">
        <w:rPr>
          <w:rFonts w:ascii="Caladea" w:hAnsi="Caladea" w:cs="Calibri"/>
          <w:color w:val="000000"/>
          <w:sz w:val="20"/>
          <w:szCs w:val="20"/>
        </w:rPr>
        <w:t xml:space="preserve"> </w:t>
      </w:r>
      <w:r w:rsidRPr="00147209">
        <w:rPr>
          <w:rFonts w:ascii="Caladea" w:hAnsi="Caladea" w:cs="Calibri"/>
          <w:color w:val="000000"/>
          <w:sz w:val="20"/>
          <w:szCs w:val="20"/>
        </w:rPr>
        <w:t>administrative, or legislative proceedings against you unless based</w:t>
      </w:r>
      <w:r w:rsidRPr="00147209">
        <w:rPr>
          <w:rFonts w:ascii="Caladea" w:hAnsi="Caladea" w:cs="Calibri"/>
          <w:color w:val="000000"/>
          <w:sz w:val="20"/>
          <w:szCs w:val="20"/>
        </w:rPr>
        <w:t xml:space="preserve"> </w:t>
      </w:r>
      <w:r w:rsidRPr="00147209">
        <w:rPr>
          <w:rFonts w:ascii="Caladea" w:hAnsi="Caladea" w:cs="Calibri"/>
          <w:color w:val="000000"/>
          <w:sz w:val="20"/>
          <w:szCs w:val="20"/>
        </w:rPr>
        <w:t>on your written consent, or a court order after notice and an opportunity to be</w:t>
      </w:r>
      <w:r w:rsidRPr="00147209">
        <w:rPr>
          <w:rFonts w:ascii="Caladea" w:hAnsi="Caladea" w:cs="Calibri"/>
          <w:color w:val="000000"/>
          <w:sz w:val="20"/>
          <w:szCs w:val="20"/>
        </w:rPr>
        <w:t xml:space="preserve"> </w:t>
      </w:r>
      <w:r w:rsidRPr="00147209">
        <w:rPr>
          <w:rFonts w:ascii="Caladea" w:hAnsi="Caladea" w:cs="Calibri"/>
          <w:color w:val="000000"/>
          <w:sz w:val="20"/>
          <w:szCs w:val="20"/>
        </w:rPr>
        <w:t>heard is provided to you or the holder of the record, as provided in Part 2. A court</w:t>
      </w:r>
      <w:r w:rsidRPr="00147209">
        <w:rPr>
          <w:rFonts w:ascii="Caladea" w:hAnsi="Caladea" w:cs="Calibri"/>
          <w:color w:val="000000"/>
          <w:sz w:val="20"/>
          <w:szCs w:val="20"/>
        </w:rPr>
        <w:br/>
        <w:t>order authorizing use or disclosure must be accompanied by a subpoena or other</w:t>
      </w:r>
      <w:r w:rsidRPr="00147209">
        <w:rPr>
          <w:rFonts w:ascii="Caladea" w:hAnsi="Caladea" w:cs="Calibri"/>
          <w:color w:val="000000"/>
          <w:sz w:val="20"/>
          <w:szCs w:val="20"/>
        </w:rPr>
        <w:t xml:space="preserve"> </w:t>
      </w:r>
      <w:r w:rsidRPr="00147209">
        <w:rPr>
          <w:rFonts w:ascii="Caladea" w:hAnsi="Caladea" w:cs="Calibri"/>
          <w:color w:val="000000"/>
          <w:sz w:val="20"/>
          <w:szCs w:val="20"/>
        </w:rPr>
        <w:t>legal requirement compelling disclosure before the requested SUD record is used</w:t>
      </w:r>
      <w:r w:rsidRPr="00147209">
        <w:rPr>
          <w:rFonts w:ascii="Caladea" w:hAnsi="Caladea" w:cs="Calibri"/>
          <w:color w:val="000000"/>
          <w:sz w:val="20"/>
          <w:szCs w:val="20"/>
        </w:rPr>
        <w:t xml:space="preserve"> </w:t>
      </w:r>
      <w:r w:rsidRPr="00147209">
        <w:rPr>
          <w:rFonts w:ascii="Caladea" w:hAnsi="Caladea" w:cs="Calibri"/>
          <w:color w:val="000000"/>
          <w:sz w:val="20"/>
          <w:szCs w:val="20"/>
        </w:rPr>
        <w:t>or disclosed.</w:t>
      </w:r>
      <w:r w:rsidRPr="00147209">
        <w:rPr>
          <w:rFonts w:ascii="Caladea" w:hAnsi="Caladea" w:cs="Calibri"/>
          <w:color w:val="000000"/>
          <w:sz w:val="20"/>
          <w:szCs w:val="20"/>
        </w:rPr>
        <w:t xml:space="preserve"> </w:t>
      </w:r>
      <w:r w:rsidRPr="00147209">
        <w:rPr>
          <w:rFonts w:ascii="Caladea" w:hAnsi="Caladea" w:cs="Calibri"/>
          <w:color w:val="000000"/>
          <w:sz w:val="20"/>
          <w:szCs w:val="20"/>
        </w:rPr>
        <w:t>If SUD records are</w:t>
      </w:r>
      <w:r w:rsidRPr="00147209">
        <w:rPr>
          <w:rFonts w:ascii="Caladea" w:hAnsi="Caladea" w:cs="Calibri"/>
          <w:color w:val="000000"/>
          <w:sz w:val="20"/>
          <w:szCs w:val="20"/>
        </w:rPr>
        <w:t xml:space="preserve"> </w:t>
      </w:r>
      <w:r w:rsidRPr="00147209">
        <w:rPr>
          <w:rFonts w:ascii="Caladea" w:hAnsi="Caladea" w:cs="Calibri"/>
          <w:color w:val="000000"/>
          <w:sz w:val="20"/>
          <w:szCs w:val="20"/>
        </w:rPr>
        <w:t>disclosed to us or our business associates pursuant to your</w:t>
      </w:r>
      <w:r w:rsidRPr="00147209">
        <w:rPr>
          <w:rFonts w:ascii="Caladea" w:hAnsi="Caladea" w:cs="Calibri"/>
          <w:color w:val="000000"/>
          <w:sz w:val="20"/>
          <w:szCs w:val="20"/>
        </w:rPr>
        <w:t xml:space="preserve"> </w:t>
      </w:r>
      <w:r w:rsidRPr="00147209">
        <w:rPr>
          <w:rFonts w:ascii="Caladea" w:hAnsi="Caladea" w:cs="Calibri"/>
          <w:color w:val="000000"/>
          <w:sz w:val="20"/>
          <w:szCs w:val="20"/>
        </w:rPr>
        <w:t>written consent for treatment, payment, and healthcare operations, we or our</w:t>
      </w:r>
      <w:r w:rsidRPr="00147209">
        <w:rPr>
          <w:rFonts w:ascii="Caladea" w:hAnsi="Caladea" w:cs="Calibri"/>
          <w:color w:val="000000"/>
          <w:sz w:val="20"/>
          <w:szCs w:val="20"/>
        </w:rPr>
        <w:t xml:space="preserve"> </w:t>
      </w:r>
      <w:r w:rsidRPr="00147209">
        <w:rPr>
          <w:rFonts w:ascii="Caladea" w:hAnsi="Caladea" w:cs="Calibri"/>
          <w:color w:val="000000"/>
          <w:sz w:val="20"/>
          <w:szCs w:val="20"/>
        </w:rPr>
        <w:t>business associates may further use and disclose such health information without</w:t>
      </w:r>
      <w:r w:rsidRPr="00147209">
        <w:rPr>
          <w:rFonts w:ascii="Caladea" w:hAnsi="Caladea" w:cs="Calibri"/>
          <w:color w:val="000000"/>
          <w:sz w:val="20"/>
          <w:szCs w:val="20"/>
        </w:rPr>
        <w:t xml:space="preserve"> </w:t>
      </w:r>
      <w:r w:rsidRPr="00147209">
        <w:rPr>
          <w:rFonts w:ascii="Caladea" w:hAnsi="Caladea" w:cs="Calibri"/>
          <w:color w:val="000000"/>
          <w:sz w:val="20"/>
          <w:szCs w:val="20"/>
        </w:rPr>
        <w:t>your written consent to the extent that the HIPAA regulations permit such</w:t>
      </w:r>
      <w:r w:rsidRPr="00147209">
        <w:rPr>
          <w:rFonts w:ascii="Caladea" w:hAnsi="Caladea" w:cs="Calibri"/>
          <w:color w:val="000000"/>
          <w:sz w:val="20"/>
          <w:szCs w:val="20"/>
        </w:rPr>
        <w:t xml:space="preserve"> </w:t>
      </w:r>
      <w:r w:rsidRPr="00147209">
        <w:rPr>
          <w:rFonts w:ascii="Caladea" w:hAnsi="Caladea" w:cs="Calibri"/>
          <w:color w:val="000000"/>
          <w:sz w:val="20"/>
          <w:szCs w:val="20"/>
        </w:rPr>
        <w:t>uses</w:t>
      </w:r>
      <w:r w:rsidRPr="00147209">
        <w:rPr>
          <w:rFonts w:ascii="Caladea" w:hAnsi="Caladea" w:cs="Calibri"/>
          <w:color w:val="000000"/>
          <w:sz w:val="20"/>
          <w:szCs w:val="20"/>
        </w:rPr>
        <w:t xml:space="preserve"> </w:t>
      </w:r>
      <w:r w:rsidRPr="00147209">
        <w:rPr>
          <w:rFonts w:ascii="Caladea" w:hAnsi="Caladea" w:cs="Calibri"/>
          <w:color w:val="000000"/>
          <w:sz w:val="20"/>
          <w:szCs w:val="20"/>
        </w:rPr>
        <w:t>and disclosures, consistent with the other provisions in this Notice regarding</w:t>
      </w:r>
      <w:r w:rsidRPr="00147209">
        <w:rPr>
          <w:rFonts w:ascii="Caladea" w:hAnsi="Caladea" w:cs="Calibri"/>
          <w:color w:val="000000"/>
          <w:sz w:val="20"/>
          <w:szCs w:val="20"/>
        </w:rPr>
        <w:t xml:space="preserve"> </w:t>
      </w:r>
      <w:r w:rsidRPr="00147209">
        <w:rPr>
          <w:rFonts w:ascii="Caladea" w:hAnsi="Caladea" w:cs="Calibri"/>
          <w:color w:val="000000"/>
          <w:sz w:val="20"/>
          <w:szCs w:val="20"/>
        </w:rPr>
        <w:t>PHI.</w:t>
      </w:r>
    </w:p>
    <w:p w14:paraId="4A220507" w14:textId="77777777" w:rsidR="00147209" w:rsidRPr="00147209" w:rsidRDefault="00147209" w:rsidP="00147209">
      <w:pPr>
        <w:pStyle w:val="Standard"/>
        <w:rPr>
          <w:rFonts w:ascii="Caladea" w:hAnsi="Caladea" w:hint="eastAsia"/>
          <w:sz w:val="20"/>
          <w:szCs w:val="20"/>
        </w:rPr>
      </w:pPr>
    </w:p>
    <w:p w14:paraId="0C296E66" w14:textId="77777777" w:rsidR="00FA4F9A" w:rsidRPr="00147209" w:rsidRDefault="00FA4F9A">
      <w:pPr>
        <w:rPr>
          <w:sz w:val="20"/>
          <w:szCs w:val="20"/>
        </w:rPr>
      </w:pPr>
    </w:p>
    <w:sectPr w:rsidR="00FA4F9A" w:rsidRPr="00147209" w:rsidSect="00147209">
      <w:headerReference w:type="default" r:id="rI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037DA" w14:textId="77777777" w:rsidR="001C2E22" w:rsidRDefault="001C2E22" w:rsidP="00147209">
      <w:pPr>
        <w:spacing w:after="0" w:line="240" w:lineRule="auto"/>
      </w:pPr>
      <w:r>
        <w:separator/>
      </w:r>
    </w:p>
  </w:endnote>
  <w:endnote w:type="continuationSeparator" w:id="0">
    <w:p w14:paraId="4B4A9B7A" w14:textId="77777777" w:rsidR="001C2E22" w:rsidRDefault="001C2E22" w:rsidP="00147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adea">
    <w:altName w:val="Cambria"/>
    <w:charset w:val="00"/>
    <w:family w:val="roman"/>
    <w:pitch w:val="variable"/>
  </w:font>
  <w:font w:name="Calibri">
    <w:panose1 w:val="020F0502020204030204"/>
    <w:charset w:val="00"/>
    <w:family w:val="swiss"/>
    <w:pitch w:val="variable"/>
    <w:sig w:usb0="E4002EFF" w:usb1="C200247B" w:usb2="00000009" w:usb3="00000000" w:csb0="000001FF" w:csb1="00000000"/>
  </w:font>
  <w:font w:name="Daytona">
    <w:charset w:val="00"/>
    <w:family w:val="swiss"/>
    <w:pitch w:val="variable"/>
    <w:sig w:usb0="800002EF" w:usb1="0000000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D493C" w14:textId="77777777" w:rsidR="001C2E22" w:rsidRDefault="001C2E22" w:rsidP="00147209">
      <w:pPr>
        <w:spacing w:after="0" w:line="240" w:lineRule="auto"/>
      </w:pPr>
      <w:r>
        <w:separator/>
      </w:r>
    </w:p>
  </w:footnote>
  <w:footnote w:type="continuationSeparator" w:id="0">
    <w:p w14:paraId="7460D962" w14:textId="77777777" w:rsidR="001C2E22" w:rsidRDefault="001C2E22" w:rsidP="00147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C5BBF" w14:textId="40847DC5" w:rsidR="00147209" w:rsidRPr="00147209" w:rsidRDefault="00147209">
    <w:pPr>
      <w:pStyle w:val="Header"/>
      <w:rPr>
        <w:rFonts w:ascii="Daytona" w:hAnsi="Daytona"/>
      </w:rPr>
    </w:pPr>
    <w:r>
      <w:rPr>
        <w:rFonts w:ascii="Daytona" w:hAnsi="Daytona"/>
      </w:rPr>
      <w:t xml:space="preserve">                                                                                           </w:t>
    </w:r>
    <w:r w:rsidRPr="00147209">
      <w:rPr>
        <w:rFonts w:ascii="Daytona" w:hAnsi="Daytona"/>
      </w:rPr>
      <w:t xml:space="preserve">The Healing Voice, LLC </w:t>
    </w:r>
    <w:r w:rsidRPr="00147209">
      <w:rPr>
        <w:rFonts w:ascii="Daytona" w:hAnsi="Daytona"/>
        <w:noProof/>
      </w:rPr>
      <w:drawing>
        <wp:inline distT="0" distB="0" distL="0" distR="0" wp14:anchorId="7A3F0E90" wp14:editId="601E94DC">
          <wp:extent cx="684107" cy="390525"/>
          <wp:effectExtent l="0" t="0" r="1905" b="0"/>
          <wp:docPr id="19768234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823474" name="Picture 1976823474"/>
                  <pic:cNvPicPr/>
                </pic:nvPicPr>
                <pic:blipFill>
                  <a:blip r:embed="rId1">
                    <a:extLst>
                      <a:ext uri="{28A0092B-C50C-407E-A947-70E740481C1C}">
                        <a14:useLocalDpi xmlns:a14="http://schemas.microsoft.com/office/drawing/2010/main" val="0"/>
                      </a:ext>
                    </a:extLst>
                  </a:blip>
                  <a:stretch>
                    <a:fillRect/>
                  </a:stretch>
                </pic:blipFill>
                <pic:spPr>
                  <a:xfrm>
                    <a:off x="0" y="0"/>
                    <a:ext cx="691032" cy="39447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209"/>
    <w:rsid w:val="00147209"/>
    <w:rsid w:val="001C2E22"/>
    <w:rsid w:val="00316C54"/>
    <w:rsid w:val="00925134"/>
    <w:rsid w:val="00FA4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BEF60"/>
  <w15:chartTrackingRefBased/>
  <w15:docId w15:val="{C6A766C3-E466-45EE-B5C0-80E002071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72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72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72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72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72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72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72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72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72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72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72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72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72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72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72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72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72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7209"/>
    <w:rPr>
      <w:rFonts w:eastAsiaTheme="majorEastAsia" w:cstheme="majorBidi"/>
      <w:color w:val="272727" w:themeColor="text1" w:themeTint="D8"/>
    </w:rPr>
  </w:style>
  <w:style w:type="paragraph" w:styleId="Title">
    <w:name w:val="Title"/>
    <w:basedOn w:val="Normal"/>
    <w:next w:val="Normal"/>
    <w:link w:val="TitleChar"/>
    <w:uiPriority w:val="10"/>
    <w:qFormat/>
    <w:rsid w:val="001472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72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72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72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7209"/>
    <w:pPr>
      <w:spacing w:before="160"/>
      <w:jc w:val="center"/>
    </w:pPr>
    <w:rPr>
      <w:i/>
      <w:iCs/>
      <w:color w:val="404040" w:themeColor="text1" w:themeTint="BF"/>
    </w:rPr>
  </w:style>
  <w:style w:type="character" w:customStyle="1" w:styleId="QuoteChar">
    <w:name w:val="Quote Char"/>
    <w:basedOn w:val="DefaultParagraphFont"/>
    <w:link w:val="Quote"/>
    <w:uiPriority w:val="29"/>
    <w:rsid w:val="00147209"/>
    <w:rPr>
      <w:i/>
      <w:iCs/>
      <w:color w:val="404040" w:themeColor="text1" w:themeTint="BF"/>
    </w:rPr>
  </w:style>
  <w:style w:type="paragraph" w:styleId="ListParagraph">
    <w:name w:val="List Paragraph"/>
    <w:basedOn w:val="Normal"/>
    <w:uiPriority w:val="34"/>
    <w:qFormat/>
    <w:rsid w:val="00147209"/>
    <w:pPr>
      <w:ind w:left="720"/>
      <w:contextualSpacing/>
    </w:pPr>
  </w:style>
  <w:style w:type="character" w:styleId="IntenseEmphasis">
    <w:name w:val="Intense Emphasis"/>
    <w:basedOn w:val="DefaultParagraphFont"/>
    <w:uiPriority w:val="21"/>
    <w:qFormat/>
    <w:rsid w:val="00147209"/>
    <w:rPr>
      <w:i/>
      <w:iCs/>
      <w:color w:val="0F4761" w:themeColor="accent1" w:themeShade="BF"/>
    </w:rPr>
  </w:style>
  <w:style w:type="paragraph" w:styleId="IntenseQuote">
    <w:name w:val="Intense Quote"/>
    <w:basedOn w:val="Normal"/>
    <w:next w:val="Normal"/>
    <w:link w:val="IntenseQuoteChar"/>
    <w:uiPriority w:val="30"/>
    <w:qFormat/>
    <w:rsid w:val="001472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7209"/>
    <w:rPr>
      <w:i/>
      <w:iCs/>
      <w:color w:val="0F4761" w:themeColor="accent1" w:themeShade="BF"/>
    </w:rPr>
  </w:style>
  <w:style w:type="character" w:styleId="IntenseReference">
    <w:name w:val="Intense Reference"/>
    <w:basedOn w:val="DefaultParagraphFont"/>
    <w:uiPriority w:val="32"/>
    <w:qFormat/>
    <w:rsid w:val="00147209"/>
    <w:rPr>
      <w:b/>
      <w:bCs/>
      <w:smallCaps/>
      <w:color w:val="0F4761" w:themeColor="accent1" w:themeShade="BF"/>
      <w:spacing w:val="5"/>
    </w:rPr>
  </w:style>
  <w:style w:type="paragraph" w:customStyle="1" w:styleId="Standard">
    <w:name w:val="Standard"/>
    <w:rsid w:val="00147209"/>
    <w:pPr>
      <w:suppressAutoHyphens/>
      <w:autoSpaceDN w:val="0"/>
      <w:spacing w:after="0" w:line="240" w:lineRule="auto"/>
      <w:textAlignment w:val="baseline"/>
    </w:pPr>
    <w:rPr>
      <w:rFonts w:ascii="Liberation Serif" w:eastAsia="NSimSun" w:hAnsi="Liberation Serif" w:cs="Arial"/>
      <w:kern w:val="3"/>
      <w:sz w:val="24"/>
      <w:szCs w:val="24"/>
      <w:lang w:eastAsia="zh-CN" w:bidi="hi-IN"/>
      <w14:ligatures w14:val="none"/>
    </w:rPr>
  </w:style>
  <w:style w:type="paragraph" w:styleId="NormalWeb">
    <w:name w:val="Normal (Web)"/>
    <w:basedOn w:val="Normal"/>
    <w:rsid w:val="00147209"/>
    <w:pPr>
      <w:autoSpaceDN w:val="0"/>
      <w:spacing w:before="100" w:after="100"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1472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209"/>
  </w:style>
  <w:style w:type="paragraph" w:styleId="Footer">
    <w:name w:val="footer"/>
    <w:basedOn w:val="Normal"/>
    <w:link w:val="FooterChar"/>
    <w:uiPriority w:val="99"/>
    <w:unhideWhenUsed/>
    <w:rsid w:val="001472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2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B214F-ED6E-4F9D-BC7B-C06098AEE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641</Words>
  <Characters>3656</Characters>
  <Application>Microsoft Office Word</Application>
  <DocSecurity>0</DocSecurity>
  <Lines>30</Lines>
  <Paragraphs>8</Paragraphs>
  <ScaleCrop>false</ScaleCrop>
  <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Knight</dc:creator>
  <cp:keywords/>
  <dc:description/>
  <cp:lastModifiedBy>Jordan Knight</cp:lastModifiedBy>
  <cp:revision>1</cp:revision>
  <cp:lastPrinted>2026-04-07T14:50:00Z</cp:lastPrinted>
  <dcterms:created xsi:type="dcterms:W3CDTF">2026-04-07T14:42:00Z</dcterms:created>
  <dcterms:modified xsi:type="dcterms:W3CDTF">2026-04-07T14:50:00Z</dcterms:modified>
</cp:coreProperties>
</file>